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FE03A1" w:rsidRDefault="0040426A">
      <w:pPr>
        <w:tabs>
          <w:tab w:val="left" w:pos="7088"/>
        </w:tabs>
        <w:spacing w:line="360" w:lineRule="atLeast"/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59055</wp:posOffset>
                </wp:positionV>
                <wp:extent cx="1751330" cy="457200"/>
                <wp:effectExtent l="0" t="0" r="127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3A1" w:rsidRDefault="00716D8A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Ortsfeuerwehr</w:t>
                            </w:r>
                          </w:p>
                          <w:p w:rsidR="00F96DDD" w:rsidRDefault="00F96DDD"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MUSTERHAUSEN</w:t>
                            </w:r>
                          </w:p>
                        </w:txbxContent>
                      </wps:txbx>
                      <wps:bodyPr rot="0" vert="horz" wrap="square" lIns="92710" tIns="127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8.4pt;margin-top:4.65pt;width:137.9pt;height:36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qSgwIAAA4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" stroked="f">
                <v:textbox inset="7.3pt,.1pt,7.3pt,3.7pt">
                  <w:txbxContent>
                    <w:p w:rsidR="00FE03A1" w:rsidRDefault="00716D8A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Ortsfeuerwehr</w:t>
                      </w:r>
                    </w:p>
                    <w:p w:rsidR="00F96DDD" w:rsidRDefault="00F96DDD">
                      <w:r>
                        <w:rPr>
                          <w:b/>
                          <w:i/>
                          <w:color w:val="FF0000"/>
                        </w:rPr>
                        <w:t>MUSTERHAUSEN</w:t>
                      </w:r>
                    </w:p>
                  </w:txbxContent>
                </v:textbox>
              </v:shape>
            </w:pict>
          </mc:Fallback>
        </mc:AlternateContent>
      </w:r>
      <w:r w:rsidR="001D6019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13335</wp:posOffset>
                </wp:positionV>
                <wp:extent cx="2256155" cy="73215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732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3A1" w:rsidRDefault="00FE03A1">
                            <w:pPr>
                              <w:pStyle w:val="berschrift1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FE03A1" w:rsidRDefault="00FE03A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4.9pt;margin-top:1.05pt;width:177.65pt;height:57.6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" stroked="f">
                <v:fill opacity="0"/>
                <v:textbox inset="7.3pt,3.7pt,7.3pt,3.7pt">
                  <w:txbxContent>
                    <w:p w:rsidR="00FE03A1" w:rsidRDefault="00FE03A1">
                      <w:pPr>
                        <w:pStyle w:val="berschrift1"/>
                        <w:jc w:val="center"/>
                      </w:pPr>
                      <w:r>
                        <w:rPr>
                          <w:sz w:val="28"/>
                        </w:rPr>
                        <w:t>Betriebsanweisung</w:t>
                      </w:r>
                    </w:p>
                    <w:p w:rsidR="00FE03A1" w:rsidRDefault="00FE03A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3A1">
        <w:t xml:space="preserve">Nummer: </w:t>
      </w:r>
      <w:r>
        <w:rPr>
          <w:color w:val="FF0000"/>
        </w:rPr>
        <w:t>B1-01</w:t>
      </w:r>
      <w:r w:rsidR="00FE03A1">
        <w:tab/>
        <w:t xml:space="preserve">Betrieb: </w:t>
      </w:r>
    </w:p>
    <w:p w:rsidR="00FE03A1" w:rsidRDefault="00FE03A1">
      <w:r>
        <w:t xml:space="preserve">Bearbeitungsstand: </w:t>
      </w:r>
      <w:r w:rsidR="00AD4922">
        <w:t>11.05</w:t>
      </w:r>
      <w:r w:rsidR="0040426A">
        <w:t>.2021</w:t>
      </w:r>
    </w:p>
    <w:p w:rsidR="001F3BFA" w:rsidRDefault="001F3BFA"/>
    <w:p w:rsidR="00804E63" w:rsidRDefault="00FE03A1" w:rsidP="00716D8A">
      <w:r>
        <w:t xml:space="preserve">Arbeitsplatz/Tätigkeitsbereich: </w:t>
      </w:r>
    </w:p>
    <w:p w:rsidR="00804E63" w:rsidRDefault="00716D8A" w:rsidP="00804E63">
      <w:pPr>
        <w:jc w:val="center"/>
        <w:rPr>
          <w:b/>
          <w:color w:val="FF0000"/>
        </w:rPr>
      </w:pPr>
      <w:r w:rsidRPr="00716D8A">
        <w:rPr>
          <w:b/>
          <w:i/>
          <w:color w:val="FF0000"/>
        </w:rPr>
        <w:t>Dienstb</w:t>
      </w:r>
      <w:r w:rsidR="0040426A">
        <w:rPr>
          <w:b/>
          <w:i/>
          <w:color w:val="FF0000"/>
        </w:rPr>
        <w:t xml:space="preserve">etrieb gemäß Stufe 1 </w:t>
      </w:r>
      <w:r w:rsidR="00A369C2">
        <w:rPr>
          <w:b/>
          <w:i/>
          <w:color w:val="FF0000"/>
        </w:rPr>
        <w:t>Erl. 34.2-13202-</w:t>
      </w:r>
      <w:r w:rsidR="0040426A">
        <w:rPr>
          <w:b/>
          <w:i/>
          <w:color w:val="FF0000"/>
        </w:rPr>
        <w:t>47 des MI v. 16.04.202</w:t>
      </w:r>
      <w:r w:rsidR="001D6019" w:rsidRPr="00716D8A">
        <w:rPr>
          <w:rFonts w:eastAsia="Arial"/>
          <w:b/>
          <w:i/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20890865</wp:posOffset>
                </wp:positionV>
                <wp:extent cx="6926580" cy="1016508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6580" cy="10165080"/>
                        </a:xfrm>
                        <a:prstGeom prst="rect">
                          <a:avLst/>
                        </a:prstGeom>
                        <a:noFill/>
                        <a:ln w="88920" cap="sq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5C5EF" id="Rectangle 3" o:spid="_x0000_s1026" style="position:absolute;margin-left:-4.55pt;margin-top:1644.95pt;width:545.4pt;height:800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" filled="f" strokecolor="green" strokeweight="2.47mm">
                <v:stroke endcap="square"/>
              </v:rect>
            </w:pict>
          </mc:Fallback>
        </mc:AlternateContent>
      </w:r>
      <w:r w:rsidR="0040426A">
        <w:rPr>
          <w:b/>
          <w:i/>
          <w:color w:val="FF0000"/>
        </w:rPr>
        <w:t>1</w:t>
      </w:r>
      <w:r w:rsidRPr="00716D8A">
        <w:rPr>
          <w:b/>
          <w:color w:val="FF0000"/>
        </w:rPr>
        <w:t xml:space="preserve"> </w:t>
      </w:r>
    </w:p>
    <w:p w:rsidR="00FE03A1" w:rsidRDefault="00716D8A" w:rsidP="00804E63">
      <w:pPr>
        <w:jc w:val="center"/>
        <w:rPr>
          <w:b/>
          <w:i/>
          <w:color w:val="FF0000"/>
        </w:rPr>
      </w:pPr>
      <w:r w:rsidRPr="00716D8A">
        <w:rPr>
          <w:b/>
          <w:color w:val="FF0000"/>
        </w:rPr>
        <w:t>(theoretischer Unterricht der Ortsfeuerwehr in Teilgruppen)</w:t>
      </w:r>
    </w:p>
    <w:tbl>
      <w:tblPr>
        <w:tblW w:w="1091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3"/>
        <w:gridCol w:w="8608"/>
        <w:gridCol w:w="984"/>
      </w:tblGrid>
      <w:tr w:rsidR="00FE03A1" w:rsidTr="004701E5">
        <w:trPr>
          <w:trHeight w:val="510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8000"/>
          </w:tcPr>
          <w:p w:rsidR="00FE03A1" w:rsidRDefault="00FE03A1">
            <w:pPr>
              <w:snapToGrid w:val="0"/>
              <w:spacing w:line="360" w:lineRule="atLeast"/>
            </w:pPr>
          </w:p>
        </w:tc>
        <w:tc>
          <w:tcPr>
            <w:tcW w:w="8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8000"/>
          </w:tcPr>
          <w:p w:rsidR="00FE03A1" w:rsidRDefault="00FE03A1">
            <w:pPr>
              <w:pStyle w:val="berschrift2"/>
              <w:jc w:val="center"/>
            </w:pPr>
            <w:r>
              <w:rPr>
                <w:b/>
              </w:rPr>
              <w:t>1. ANWENDUNGSBEREICH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FE03A1" w:rsidRDefault="00FE03A1">
            <w:pPr>
              <w:snapToGrid w:val="0"/>
              <w:spacing w:line="360" w:lineRule="atLeast"/>
              <w:rPr>
                <w:b/>
              </w:rPr>
            </w:pPr>
          </w:p>
        </w:tc>
      </w:tr>
      <w:tr w:rsidR="00FE03A1" w:rsidTr="004701E5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A1" w:rsidRDefault="00FE03A1">
            <w:pPr>
              <w:snapToGrid w:val="0"/>
              <w:spacing w:before="60" w:after="60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A1" w:rsidRDefault="00716D8A">
            <w:pPr>
              <w:snapToGrid w:val="0"/>
              <w:spacing w:before="40" w:after="40"/>
              <w:ind w:left="375" w:hanging="284"/>
              <w:jc w:val="center"/>
            </w:pPr>
            <w:r>
              <w:rPr>
                <w:b/>
                <w:sz w:val="22"/>
                <w:szCs w:val="22"/>
              </w:rPr>
              <w:t>Theoretischer Unterricht in der Ortsfeuerwehr</w:t>
            </w:r>
          </w:p>
          <w:p w:rsidR="00FE03A1" w:rsidRDefault="00FE03A1">
            <w:pPr>
              <w:snapToGrid w:val="0"/>
              <w:spacing w:before="40" w:after="40"/>
              <w:ind w:left="375" w:hanging="284"/>
              <w:jc w:val="center"/>
            </w:pPr>
            <w:r>
              <w:rPr>
                <w:b/>
                <w:sz w:val="22"/>
                <w:szCs w:val="22"/>
              </w:rPr>
              <w:t>unter In</w:t>
            </w:r>
            <w:r w:rsidR="00593745">
              <w:rPr>
                <w:b/>
                <w:sz w:val="22"/>
                <w:szCs w:val="22"/>
              </w:rPr>
              <w:t>fektionsgefahr durch das Corona-V</w:t>
            </w:r>
            <w:r>
              <w:rPr>
                <w:b/>
                <w:sz w:val="22"/>
                <w:szCs w:val="22"/>
              </w:rPr>
              <w:t>irus Sars-CoV-2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3A1" w:rsidRDefault="00FE03A1">
            <w:pPr>
              <w:snapToGrid w:val="0"/>
              <w:spacing w:before="60" w:after="60"/>
              <w:jc w:val="center"/>
              <w:rPr>
                <w:sz w:val="22"/>
                <w:szCs w:val="18"/>
              </w:rPr>
            </w:pPr>
          </w:p>
        </w:tc>
      </w:tr>
      <w:tr w:rsidR="00FE03A1" w:rsidTr="004701E5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8000"/>
          </w:tcPr>
          <w:p w:rsidR="00FE03A1" w:rsidRDefault="00FE03A1">
            <w:pPr>
              <w:snapToGrid w:val="0"/>
              <w:spacing w:line="360" w:lineRule="atLeast"/>
              <w:rPr>
                <w:sz w:val="22"/>
                <w:szCs w:val="18"/>
              </w:rPr>
            </w:pPr>
          </w:p>
        </w:tc>
        <w:tc>
          <w:tcPr>
            <w:tcW w:w="8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8000"/>
          </w:tcPr>
          <w:p w:rsidR="00FE03A1" w:rsidRDefault="00FE03A1">
            <w:pPr>
              <w:pStyle w:val="berschrift3"/>
            </w:pPr>
            <w:r>
              <w:t xml:space="preserve">2. </w:t>
            </w:r>
            <w:r>
              <w:rPr>
                <w:caps/>
              </w:rPr>
              <w:t>Gefahren für Den Menschen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FE03A1" w:rsidRDefault="00FE03A1">
            <w:pPr>
              <w:snapToGrid w:val="0"/>
              <w:spacing w:line="360" w:lineRule="atLeast"/>
            </w:pPr>
          </w:p>
        </w:tc>
      </w:tr>
      <w:tr w:rsidR="00FE03A1" w:rsidTr="004701E5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A1" w:rsidRDefault="001D6019">
            <w:pPr>
              <w:spacing w:before="60" w:after="60"/>
              <w:jc w:val="center"/>
              <w:rPr>
                <w:rFonts w:eastAsia="Arial"/>
                <w:sz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85800" cy="7810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" t="-12" r="-14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A1" w:rsidRDefault="00FE03A1">
            <w:pPr>
              <w:ind w:left="-70"/>
            </w:pPr>
            <w:r>
              <w:rPr>
                <w:rFonts w:eastAsia="Arial"/>
                <w:sz w:val="20"/>
              </w:rPr>
              <w:t xml:space="preserve"> </w:t>
            </w:r>
            <w:r w:rsidR="00716D8A">
              <w:rPr>
                <w:sz w:val="20"/>
              </w:rPr>
              <w:t>D</w:t>
            </w:r>
            <w:r>
              <w:rPr>
                <w:sz w:val="20"/>
              </w:rPr>
              <w:t>as Corona</w:t>
            </w:r>
            <w:r w:rsidR="00716D8A">
              <w:rPr>
                <w:sz w:val="20"/>
              </w:rPr>
              <w:t>-V</w:t>
            </w:r>
            <w:r>
              <w:rPr>
                <w:sz w:val="20"/>
              </w:rPr>
              <w:t xml:space="preserve">irus SARS-CoV-2 </w:t>
            </w:r>
            <w:r w:rsidR="00716D8A">
              <w:rPr>
                <w:sz w:val="20"/>
              </w:rPr>
              <w:t xml:space="preserve">wird </w:t>
            </w:r>
            <w:r>
              <w:rPr>
                <w:sz w:val="20"/>
              </w:rPr>
              <w:t xml:space="preserve">von Mensch zu Mensch übertragen. </w:t>
            </w:r>
          </w:p>
          <w:p w:rsidR="00FE03A1" w:rsidRDefault="00FE03A1">
            <w:pPr>
              <w:rPr>
                <w:sz w:val="20"/>
              </w:rPr>
            </w:pPr>
          </w:p>
          <w:p w:rsidR="00FE03A1" w:rsidRDefault="00FE03A1">
            <w:r>
              <w:rPr>
                <w:b/>
                <w:sz w:val="20"/>
              </w:rPr>
              <w:t>Übertragungsweg:</w:t>
            </w:r>
          </w:p>
          <w:p w:rsidR="00FE03A1" w:rsidRDefault="00FE03A1">
            <w:pPr>
              <w:numPr>
                <w:ilvl w:val="0"/>
                <w:numId w:val="2"/>
              </w:numPr>
            </w:pPr>
            <w:r>
              <w:rPr>
                <w:sz w:val="20"/>
              </w:rPr>
              <w:t>Das Virus wird durch Tröpfchen</w:t>
            </w:r>
            <w:r w:rsidR="00750CF0">
              <w:rPr>
                <w:sz w:val="20"/>
              </w:rPr>
              <w:t xml:space="preserve"> oder Aerosole</w:t>
            </w:r>
            <w:r>
              <w:rPr>
                <w:sz w:val="20"/>
              </w:rPr>
              <w:t xml:space="preserve"> über die Luft </w:t>
            </w:r>
            <w:r w:rsidR="00750CF0">
              <w:rPr>
                <w:sz w:val="20"/>
              </w:rPr>
              <w:t>bzw.</w:t>
            </w:r>
            <w:r>
              <w:rPr>
                <w:sz w:val="20"/>
              </w:rPr>
              <w:t xml:space="preserve"> über kontaminierte Hände auf die Schleimhäute</w:t>
            </w:r>
            <w:r w:rsidR="00750CF0">
              <w:rPr>
                <w:sz w:val="20"/>
              </w:rPr>
              <w:t xml:space="preserve"> (Mund, Nase, Augen) übertragen</w:t>
            </w:r>
            <w:r>
              <w:rPr>
                <w:sz w:val="20"/>
              </w:rPr>
              <w:t>.</w:t>
            </w:r>
          </w:p>
          <w:p w:rsidR="00FE03A1" w:rsidRDefault="00FE03A1">
            <w:r>
              <w:rPr>
                <w:b/>
                <w:bCs/>
                <w:sz w:val="20"/>
              </w:rPr>
              <w:t>Inkubationszeit:</w:t>
            </w:r>
          </w:p>
          <w:p w:rsidR="00FE03A1" w:rsidRDefault="00FE03A1">
            <w:pPr>
              <w:numPr>
                <w:ilvl w:val="0"/>
                <w:numId w:val="2"/>
              </w:numPr>
              <w:suppressAutoHyphens/>
              <w:overflowPunct/>
              <w:autoSpaceDE/>
              <w:spacing w:after="40"/>
              <w:textAlignment w:val="auto"/>
            </w:pPr>
            <w:r>
              <w:rPr>
                <w:sz w:val="20"/>
              </w:rPr>
              <w:t xml:space="preserve">Krankheitssymptome treten etwa </w:t>
            </w:r>
            <w:r w:rsidR="00716D8A">
              <w:rPr>
                <w:sz w:val="20"/>
              </w:rPr>
              <w:t>ein</w:t>
            </w:r>
            <w:r w:rsidR="00F96DDD">
              <w:rPr>
                <w:sz w:val="20"/>
              </w:rPr>
              <w:t>en</w:t>
            </w:r>
            <w:r>
              <w:rPr>
                <w:sz w:val="20"/>
              </w:rPr>
              <w:t xml:space="preserve"> Tag bis zwei Wochen nach der Ansteckung auf. Bereits bevor die Symptome auftreten, können andere infiziert werden.</w:t>
            </w:r>
          </w:p>
          <w:p w:rsidR="00FE03A1" w:rsidRDefault="00FE03A1">
            <w:pPr>
              <w:suppressAutoHyphens/>
              <w:overflowPunct/>
              <w:autoSpaceDE/>
              <w:spacing w:after="40"/>
              <w:textAlignment w:val="auto"/>
            </w:pPr>
            <w:r>
              <w:rPr>
                <w:b/>
                <w:sz w:val="20"/>
              </w:rPr>
              <w:t>Gesundheitliche Wirkungen:</w:t>
            </w:r>
          </w:p>
          <w:p w:rsidR="00FE03A1" w:rsidRDefault="00FE03A1">
            <w:pPr>
              <w:numPr>
                <w:ilvl w:val="0"/>
                <w:numId w:val="2"/>
              </w:numPr>
            </w:pPr>
            <w:r>
              <w:rPr>
                <w:sz w:val="20"/>
              </w:rPr>
              <w:t xml:space="preserve">Häufigste Krankheitszeichen sind trockener Husten und Fieber, Atemnot, Muskel- und Gelenkschmerzen. Eine Infektion kann auch ohne Krankheitszeichen ablaufen, am häufigsten sind milde Krankheitsverläufe. Schwere bis tödliche Lungenerkrankungen sind nach einer Ansteckung möglich. </w:t>
            </w:r>
          </w:p>
          <w:p w:rsidR="00FE03A1" w:rsidRDefault="00FE03A1">
            <w:pPr>
              <w:numPr>
                <w:ilvl w:val="0"/>
                <w:numId w:val="2"/>
              </w:numPr>
              <w:suppressAutoHyphens/>
              <w:overflowPunct/>
              <w:autoSpaceDE/>
              <w:spacing w:after="40"/>
              <w:textAlignment w:val="auto"/>
            </w:pPr>
            <w:r>
              <w:rPr>
                <w:sz w:val="20"/>
              </w:rPr>
              <w:t>Ein höheres Risiko besteht unter anderem für ältere Personen (ab dem 50. Lebensjahr), Raucher und Personen mit bestimmten Vorerkrankungen, z.B. Herz- und Lungenerkrankungen, Bluthochdruck, Übergewicht, Diabetes, Lebererkrankungen, Krebs und Personen mit einem geschwächten Immunsystem. Aber auch jüngere und gesunde Personen können erkranken.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3A1" w:rsidRDefault="00FE03A1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E03A1" w:rsidTr="004701E5">
        <w:trPr>
          <w:cantSplit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FE03A1" w:rsidRDefault="00FE03A1">
            <w:pPr>
              <w:pStyle w:val="berschrift3"/>
            </w:pPr>
            <w:r>
              <w:t xml:space="preserve">3. </w:t>
            </w:r>
            <w:r>
              <w:rPr>
                <w:caps/>
              </w:rPr>
              <w:t>Schutzmassnahmen und Verhaltensregeln</w:t>
            </w:r>
          </w:p>
        </w:tc>
      </w:tr>
      <w:tr w:rsidR="00FE03A1" w:rsidTr="004701E5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A1" w:rsidRDefault="001D6019">
            <w:pPr>
              <w:spacing w:before="60" w:after="6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66750" cy="66675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1" t="-41" r="-41" b="-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3A1" w:rsidRDefault="00FE03A1">
            <w:pPr>
              <w:spacing w:before="60" w:after="60"/>
              <w:jc w:val="center"/>
            </w:pPr>
          </w:p>
          <w:p w:rsidR="00A33A33" w:rsidRDefault="00A33A33">
            <w:pPr>
              <w:spacing w:before="60" w:after="60"/>
              <w:jc w:val="center"/>
            </w:pPr>
          </w:p>
          <w:p w:rsidR="00FE03A1" w:rsidRDefault="001D6019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66750" cy="66675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1" t="-41" r="-41" b="-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061" w:rsidRDefault="00A57061">
            <w:pPr>
              <w:suppressAutoHyphens/>
              <w:overflowPunct/>
              <w:autoSpaceDE/>
              <w:spacing w:after="40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Medizinischer Mund-Nase-Schutz (MNS)</w:t>
            </w:r>
          </w:p>
          <w:p w:rsidR="00A57061" w:rsidRPr="00A57061" w:rsidRDefault="00A57061" w:rsidP="00A57061">
            <w:pPr>
              <w:pStyle w:val="Listenabsatz"/>
              <w:numPr>
                <w:ilvl w:val="0"/>
                <w:numId w:val="8"/>
              </w:numPr>
              <w:suppressAutoHyphens/>
              <w:overflowPunct/>
              <w:autoSpaceDE/>
              <w:spacing w:after="40"/>
              <w:textAlignment w:val="auto"/>
              <w:rPr>
                <w:b/>
                <w:sz w:val="20"/>
              </w:rPr>
            </w:pPr>
            <w:r w:rsidRPr="00A57061">
              <w:rPr>
                <w:sz w:val="20"/>
              </w:rPr>
              <w:t xml:space="preserve">Im Gebäude ist mindestens ein medizinischer Mund-Nase-Schutz (MNS) zu tragen, der nur am Sitzplatz im Schulungsraum, sofern alle Personen im Raum sitzen, abgenommen werden darf. </w:t>
            </w:r>
          </w:p>
          <w:p w:rsidR="00FE03A1" w:rsidRDefault="00FE03A1">
            <w:pPr>
              <w:suppressAutoHyphens/>
              <w:overflowPunct/>
              <w:autoSpaceDE/>
              <w:spacing w:after="40"/>
              <w:textAlignment w:val="auto"/>
            </w:pPr>
            <w:r>
              <w:rPr>
                <w:b/>
                <w:sz w:val="20"/>
              </w:rPr>
              <w:t>Abstand halten</w:t>
            </w:r>
          </w:p>
          <w:p w:rsidR="00FE03A1" w:rsidRPr="00B747D8" w:rsidRDefault="00FE03A1">
            <w:pPr>
              <w:numPr>
                <w:ilvl w:val="0"/>
                <w:numId w:val="3"/>
              </w:numPr>
              <w:suppressAutoHyphens/>
              <w:overflowPunct/>
              <w:autoSpaceDE/>
              <w:spacing w:after="40"/>
              <w:textAlignment w:val="auto"/>
            </w:pPr>
            <w:r w:rsidRPr="00B747D8">
              <w:rPr>
                <w:sz w:val="20"/>
              </w:rPr>
              <w:t>Halten Sie gegenüber anderen einen Mindestabstand von 1,5 m ein</w:t>
            </w:r>
            <w:r w:rsidR="00DD12F4" w:rsidRPr="00B747D8">
              <w:rPr>
                <w:sz w:val="20"/>
              </w:rPr>
              <w:t>, auch bei</w:t>
            </w:r>
            <w:r w:rsidR="00716D8A">
              <w:rPr>
                <w:sz w:val="20"/>
              </w:rPr>
              <w:t>m</w:t>
            </w:r>
            <w:r w:rsidR="00DD12F4" w:rsidRPr="00B747D8">
              <w:rPr>
                <w:sz w:val="20"/>
              </w:rPr>
              <w:t xml:space="preserve"> </w:t>
            </w:r>
            <w:r w:rsidR="00716D8A">
              <w:rPr>
                <w:sz w:val="20"/>
              </w:rPr>
              <w:t>Schulungsdienst</w:t>
            </w:r>
            <w:r w:rsidR="00DD12F4" w:rsidRPr="00B747D8">
              <w:rPr>
                <w:sz w:val="20"/>
              </w:rPr>
              <w:t xml:space="preserve"> und </w:t>
            </w:r>
            <w:r w:rsidR="00447652" w:rsidRPr="00B747D8">
              <w:rPr>
                <w:sz w:val="20"/>
              </w:rPr>
              <w:t>während der Pausen</w:t>
            </w:r>
            <w:r w:rsidR="00DD12F4" w:rsidRPr="00B747D8">
              <w:rPr>
                <w:sz w:val="20"/>
              </w:rPr>
              <w:t>zeiten</w:t>
            </w:r>
            <w:r w:rsidR="00716D8A">
              <w:rPr>
                <w:sz w:val="20"/>
              </w:rPr>
              <w:t>.</w:t>
            </w:r>
            <w:r w:rsidR="00447652" w:rsidRPr="00B747D8">
              <w:rPr>
                <w:sz w:val="20"/>
              </w:rPr>
              <w:t xml:space="preserve"> </w:t>
            </w:r>
            <w:r w:rsidRPr="00B747D8">
              <w:rPr>
                <w:sz w:val="20"/>
              </w:rPr>
              <w:t xml:space="preserve">Vermeiden Sie Händeschütteln und Körperkontakt. </w:t>
            </w:r>
            <w:r w:rsidR="00716D8A">
              <w:rPr>
                <w:sz w:val="20"/>
              </w:rPr>
              <w:t>Kann der A</w:t>
            </w:r>
            <w:r w:rsidRPr="00B747D8">
              <w:rPr>
                <w:sz w:val="20"/>
              </w:rPr>
              <w:t xml:space="preserve">bstand </w:t>
            </w:r>
            <w:r w:rsidR="00716D8A">
              <w:rPr>
                <w:sz w:val="20"/>
              </w:rPr>
              <w:t xml:space="preserve">von 1,5 m </w:t>
            </w:r>
            <w:r w:rsidRPr="00B747D8">
              <w:rPr>
                <w:sz w:val="20"/>
              </w:rPr>
              <w:t xml:space="preserve">nicht eingehalten werden, </w:t>
            </w:r>
            <w:r w:rsidR="00406F7D" w:rsidRPr="00B747D8">
              <w:rPr>
                <w:sz w:val="20"/>
              </w:rPr>
              <w:t>ist</w:t>
            </w:r>
            <w:r w:rsidR="00FD680C" w:rsidRPr="00B747D8">
              <w:rPr>
                <w:sz w:val="20"/>
              </w:rPr>
              <w:t xml:space="preserve"> ein </w:t>
            </w:r>
            <w:r w:rsidR="00A57061">
              <w:rPr>
                <w:sz w:val="20"/>
              </w:rPr>
              <w:t xml:space="preserve">medizinischer </w:t>
            </w:r>
            <w:r w:rsidRPr="00B747D8">
              <w:rPr>
                <w:sz w:val="20"/>
              </w:rPr>
              <w:t>Mund-Nase-</w:t>
            </w:r>
            <w:r w:rsidR="00A57061">
              <w:rPr>
                <w:sz w:val="20"/>
              </w:rPr>
              <w:t>Schutz</w:t>
            </w:r>
            <w:r w:rsidR="00FD680C" w:rsidRPr="00B747D8">
              <w:rPr>
                <w:sz w:val="20"/>
              </w:rPr>
              <w:t xml:space="preserve"> </w:t>
            </w:r>
            <w:r w:rsidR="00406F7D" w:rsidRPr="00B747D8">
              <w:rPr>
                <w:sz w:val="20"/>
              </w:rPr>
              <w:t>zu tragen</w:t>
            </w:r>
            <w:r w:rsidR="00FD680C" w:rsidRPr="00B747D8">
              <w:rPr>
                <w:sz w:val="20"/>
              </w:rPr>
              <w:t xml:space="preserve">. </w:t>
            </w:r>
          </w:p>
          <w:p w:rsidR="00FE03A1" w:rsidRDefault="00FE03A1">
            <w:r>
              <w:rPr>
                <w:b/>
                <w:sz w:val="20"/>
              </w:rPr>
              <w:t>Regelmäßig gründlich Händewaschen</w:t>
            </w:r>
            <w:r>
              <w:rPr>
                <w:sz w:val="20"/>
              </w:rPr>
              <w:t xml:space="preserve"> </w:t>
            </w:r>
          </w:p>
          <w:p w:rsidR="00FE03A1" w:rsidRPr="005F36D5" w:rsidRDefault="00FE03A1">
            <w:pPr>
              <w:numPr>
                <w:ilvl w:val="0"/>
                <w:numId w:val="3"/>
              </w:numPr>
            </w:pPr>
            <w:r>
              <w:rPr>
                <w:sz w:val="20"/>
              </w:rPr>
              <w:t xml:space="preserve">Hände von allen Seiten mit Seife für 20-30s bis zum Handgelenk einreiben und dann unter fließendem Wasser abspülen. Die Hände mit einem trockenem und sauberen Papiertuch abtrocknen. Hände-Desinfektionsmittel benutzen, wenn keine Möglichkeit zum Waschen der Hände besteht. </w:t>
            </w:r>
          </w:p>
          <w:p w:rsidR="005F36D5" w:rsidRPr="00B747D8" w:rsidRDefault="00716D8A">
            <w:pPr>
              <w:numPr>
                <w:ilvl w:val="0"/>
                <w:numId w:val="3"/>
              </w:numPr>
            </w:pPr>
            <w:r>
              <w:rPr>
                <w:sz w:val="20"/>
              </w:rPr>
              <w:t>E</w:t>
            </w:r>
            <w:r w:rsidR="005F36D5" w:rsidRPr="00B747D8">
              <w:rPr>
                <w:sz w:val="20"/>
              </w:rPr>
              <w:t xml:space="preserve">ntsorgen Sie benutzte Papierhandtücher in geschlossenen Müllbeuteln. </w:t>
            </w:r>
          </w:p>
          <w:p w:rsidR="00FE03A1" w:rsidRDefault="00FE03A1">
            <w:r>
              <w:rPr>
                <w:b/>
                <w:sz w:val="20"/>
              </w:rPr>
              <w:t>Hände aus dem Gesicht fernhalten</w:t>
            </w:r>
            <w:r>
              <w:rPr>
                <w:sz w:val="20"/>
              </w:rPr>
              <w:t xml:space="preserve"> </w:t>
            </w:r>
          </w:p>
          <w:p w:rsidR="00FE03A1" w:rsidRDefault="00FE03A1">
            <w:pPr>
              <w:numPr>
                <w:ilvl w:val="0"/>
                <w:numId w:val="3"/>
              </w:numPr>
            </w:pPr>
            <w:r>
              <w:rPr>
                <w:sz w:val="20"/>
              </w:rPr>
              <w:t>Berühren Sie Ihr Gesicht nicht mit ungewaschenen Händen.</w:t>
            </w:r>
          </w:p>
          <w:p w:rsidR="00FE03A1" w:rsidRDefault="00FE03A1">
            <w:r>
              <w:rPr>
                <w:b/>
                <w:sz w:val="20"/>
              </w:rPr>
              <w:t>Verhalten bei Husten oder Niesen</w:t>
            </w:r>
            <w:r>
              <w:rPr>
                <w:sz w:val="20"/>
              </w:rPr>
              <w:t xml:space="preserve"> </w:t>
            </w:r>
          </w:p>
          <w:p w:rsidR="00FE03A1" w:rsidRDefault="00FE03A1">
            <w:pPr>
              <w:numPr>
                <w:ilvl w:val="0"/>
                <w:numId w:val="3"/>
              </w:numPr>
            </w:pPr>
            <w:r>
              <w:rPr>
                <w:sz w:val="20"/>
              </w:rPr>
              <w:t xml:space="preserve">Husten oder niesen Sie in Papiertaschentücher oder in die Armbeuge. </w:t>
            </w:r>
          </w:p>
          <w:p w:rsidR="00FE03A1" w:rsidRDefault="00FE03A1">
            <w:pPr>
              <w:suppressAutoHyphens/>
              <w:overflowPunct/>
              <w:autoSpaceDE/>
              <w:textAlignment w:val="auto"/>
            </w:pPr>
            <w:r>
              <w:rPr>
                <w:b/>
                <w:bCs/>
                <w:sz w:val="20"/>
              </w:rPr>
              <w:t>Arbeitsmittel und Oberflächen</w:t>
            </w:r>
          </w:p>
          <w:p w:rsidR="00505F43" w:rsidRPr="00B747D8" w:rsidRDefault="00505F43">
            <w:pPr>
              <w:numPr>
                <w:ilvl w:val="0"/>
                <w:numId w:val="3"/>
              </w:numPr>
              <w:suppressAutoHyphens/>
              <w:overflowPunct/>
              <w:autoSpaceDE/>
              <w:textAlignment w:val="auto"/>
            </w:pPr>
            <w:r w:rsidRPr="00B747D8">
              <w:rPr>
                <w:sz w:val="20"/>
              </w:rPr>
              <w:t>Bewahren Sie personenbezogene Schutzausrüstung getrennt von der Alltagskleidung auf.</w:t>
            </w:r>
          </w:p>
          <w:p w:rsidR="00FE03A1" w:rsidRDefault="00FE03A1">
            <w:pPr>
              <w:numPr>
                <w:ilvl w:val="0"/>
                <w:numId w:val="3"/>
              </w:numPr>
              <w:suppressAutoHyphens/>
              <w:overflowPunct/>
              <w:autoSpaceDE/>
              <w:textAlignment w:val="auto"/>
            </w:pPr>
            <w:r>
              <w:rPr>
                <w:sz w:val="20"/>
              </w:rPr>
              <w:t>Oberflächen (z.B. Handy, Telefon, Werkzeuggriff, Toilette) sind in regelmäßigen Abständen zu reinigen/zu desinfizieren.</w:t>
            </w:r>
            <w:r w:rsidR="00F96DDD">
              <w:rPr>
                <w:sz w:val="20"/>
              </w:rPr>
              <w:t xml:space="preserve"> Türklinken mit Ellenbogen öffnen.</w:t>
            </w:r>
          </w:p>
          <w:p w:rsidR="00FE03A1" w:rsidRDefault="00FE03A1">
            <w:r>
              <w:rPr>
                <w:b/>
                <w:sz w:val="20"/>
              </w:rPr>
              <w:t>Lüften</w:t>
            </w:r>
            <w:r>
              <w:rPr>
                <w:sz w:val="20"/>
              </w:rPr>
              <w:t xml:space="preserve"> </w:t>
            </w:r>
          </w:p>
          <w:p w:rsidR="00FE03A1" w:rsidRDefault="00F96DDD">
            <w:pPr>
              <w:numPr>
                <w:ilvl w:val="0"/>
                <w:numId w:val="3"/>
              </w:numPr>
            </w:pPr>
            <w:r>
              <w:rPr>
                <w:sz w:val="20"/>
              </w:rPr>
              <w:t>Schulungsraum</w:t>
            </w:r>
            <w:r w:rsidR="00FE03A1">
              <w:rPr>
                <w:sz w:val="20"/>
              </w:rPr>
              <w:t xml:space="preserve"> </w:t>
            </w:r>
            <w:r w:rsidR="00716D8A">
              <w:rPr>
                <w:sz w:val="20"/>
              </w:rPr>
              <w:t>möglichst dauerhaft Querlüften oder alle 45 Minuten Stoßlüften</w:t>
            </w:r>
            <w:r w:rsidR="00FE03A1">
              <w:rPr>
                <w:sz w:val="20"/>
              </w:rPr>
              <w:t>.</w:t>
            </w:r>
          </w:p>
          <w:p w:rsidR="00FE03A1" w:rsidRDefault="00FE03A1">
            <w:r>
              <w:rPr>
                <w:b/>
                <w:bCs/>
                <w:sz w:val="20"/>
              </w:rPr>
              <w:t>Weitere Schutzmaßnahmen</w:t>
            </w:r>
          </w:p>
          <w:p w:rsidR="00FD680C" w:rsidRPr="00B747D8" w:rsidRDefault="00FE03A1" w:rsidP="00FD680C">
            <w:pPr>
              <w:numPr>
                <w:ilvl w:val="0"/>
                <w:numId w:val="3"/>
              </w:numPr>
            </w:pPr>
            <w:r>
              <w:rPr>
                <w:sz w:val="20"/>
              </w:rPr>
              <w:t>Bitte beachten Sie die Vorgaben des Mutterschutzgesetze</w:t>
            </w:r>
            <w:r w:rsidR="00FD680C">
              <w:rPr>
                <w:sz w:val="20"/>
              </w:rPr>
              <w:t>s.</w:t>
            </w:r>
          </w:p>
          <w:p w:rsidR="00505F43" w:rsidRDefault="00B747D8" w:rsidP="00A57061">
            <w:pPr>
              <w:numPr>
                <w:ilvl w:val="0"/>
                <w:numId w:val="3"/>
              </w:numPr>
            </w:pPr>
            <w:r>
              <w:rPr>
                <w:sz w:val="20"/>
              </w:rPr>
              <w:t>Ergänzen Sie hier ggf. weitere Schutzmaßnahmen, die sich aus der Gefährdungsbeurteilung ergeben.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3A1" w:rsidRDefault="00FE03A1">
            <w:pPr>
              <w:snapToGrid w:val="0"/>
              <w:spacing w:before="60" w:after="60"/>
              <w:ind w:left="720"/>
              <w:rPr>
                <w:sz w:val="21"/>
                <w:szCs w:val="21"/>
              </w:rPr>
            </w:pPr>
          </w:p>
        </w:tc>
      </w:tr>
      <w:tr w:rsidR="00FE03A1" w:rsidTr="004701E5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8000"/>
          </w:tcPr>
          <w:p w:rsidR="00FE03A1" w:rsidRDefault="00FE03A1">
            <w:pPr>
              <w:snapToGrid w:val="0"/>
              <w:jc w:val="center"/>
              <w:rPr>
                <w:sz w:val="12"/>
                <w:szCs w:val="21"/>
              </w:rPr>
            </w:pPr>
          </w:p>
        </w:tc>
        <w:tc>
          <w:tcPr>
            <w:tcW w:w="8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8000"/>
          </w:tcPr>
          <w:p w:rsidR="00FE03A1" w:rsidRDefault="00FE03A1">
            <w:pPr>
              <w:ind w:left="360"/>
            </w:pPr>
            <w:r>
              <w:rPr>
                <w:b/>
                <w:color w:val="FFFFFF"/>
                <w:sz w:val="28"/>
              </w:rPr>
              <w:t>4.</w:t>
            </w:r>
            <w:r>
              <w:rPr>
                <w:color w:val="FFFFFF"/>
                <w:sz w:val="28"/>
              </w:rPr>
              <w:t xml:space="preserve"> </w:t>
            </w:r>
            <w:r>
              <w:rPr>
                <w:b/>
                <w:caps/>
                <w:color w:val="FFFFFF"/>
                <w:sz w:val="28"/>
              </w:rPr>
              <w:t>Verhalten im Gefahrfall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FE03A1" w:rsidRDefault="00FE03A1">
            <w:pPr>
              <w:snapToGrid w:val="0"/>
              <w:ind w:right="85"/>
              <w:rPr>
                <w:color w:val="FFFFFF"/>
                <w:sz w:val="12"/>
              </w:rPr>
            </w:pPr>
          </w:p>
        </w:tc>
      </w:tr>
      <w:tr w:rsidR="00FE03A1" w:rsidTr="004701E5">
        <w:trPr>
          <w:trHeight w:val="147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A1" w:rsidRDefault="00C0278A">
            <w:pPr>
              <w:snapToGrid w:val="0"/>
              <w:spacing w:before="60" w:after="60"/>
              <w:jc w:val="center"/>
              <w:rPr>
                <w:color w:val="FFFFFF"/>
                <w:sz w:val="12"/>
              </w:rPr>
            </w:pPr>
            <w:r>
              <w:br w:type="page"/>
            </w:r>
          </w:p>
          <w:p w:rsidR="00FE03A1" w:rsidRDefault="00FE03A1">
            <w:pPr>
              <w:spacing w:before="60" w:after="60"/>
              <w:jc w:val="center"/>
              <w:rPr>
                <w:sz w:val="12"/>
              </w:rPr>
            </w:pP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1E5" w:rsidRDefault="004701E5">
            <w:pPr>
              <w:rPr>
                <w:b/>
                <w:sz w:val="20"/>
              </w:rPr>
            </w:pPr>
          </w:p>
          <w:p w:rsidR="00FE03A1" w:rsidRDefault="00FE03A1">
            <w:r>
              <w:rPr>
                <w:b/>
                <w:sz w:val="20"/>
              </w:rPr>
              <w:t>Verhalten bei Symptomen:</w:t>
            </w:r>
            <w:r>
              <w:rPr>
                <w:sz w:val="20"/>
              </w:rPr>
              <w:t xml:space="preserve"> </w:t>
            </w:r>
          </w:p>
          <w:p w:rsidR="001B7C72" w:rsidRPr="00B747D8" w:rsidRDefault="001B7C72">
            <w:pPr>
              <w:numPr>
                <w:ilvl w:val="0"/>
                <w:numId w:val="3"/>
              </w:numPr>
            </w:pPr>
            <w:r w:rsidRPr="00B747D8">
              <w:rPr>
                <w:sz w:val="20"/>
              </w:rPr>
              <w:t xml:space="preserve">Beachten Sie die </w:t>
            </w:r>
            <w:r w:rsidR="003A09A5">
              <w:rPr>
                <w:sz w:val="20"/>
              </w:rPr>
              <w:t>feuerwehrspezifischen</w:t>
            </w:r>
            <w:r w:rsidRPr="00B747D8">
              <w:rPr>
                <w:sz w:val="20"/>
              </w:rPr>
              <w:t xml:space="preserve"> Regelungen zur Abklärung von Verdachtsfällen auf eine COVID-19-Erkrankung.</w:t>
            </w:r>
          </w:p>
          <w:p w:rsidR="001B7C72" w:rsidRPr="001B7C72" w:rsidRDefault="001B7C72" w:rsidP="001B7C72">
            <w:pPr>
              <w:ind w:left="720"/>
              <w:rPr>
                <w:color w:val="FF0000"/>
              </w:rPr>
            </w:pPr>
          </w:p>
          <w:p w:rsidR="001B7C72" w:rsidRPr="00B747D8" w:rsidRDefault="001B7C72">
            <w:pPr>
              <w:numPr>
                <w:ilvl w:val="0"/>
                <w:numId w:val="3"/>
              </w:numPr>
            </w:pPr>
            <w:r w:rsidRPr="00B747D8">
              <w:rPr>
                <w:sz w:val="20"/>
              </w:rPr>
              <w:t>Sollten Sie Anzeichen fü</w:t>
            </w:r>
            <w:r w:rsidR="003A09A5">
              <w:rPr>
                <w:sz w:val="20"/>
              </w:rPr>
              <w:t>r eine Infektion mit dem Corona-V</w:t>
            </w:r>
            <w:r w:rsidRPr="00B747D8">
              <w:rPr>
                <w:sz w:val="20"/>
              </w:rPr>
              <w:t xml:space="preserve">irus haben, bleiben Sie zuhause, informieren Sie </w:t>
            </w:r>
            <w:r w:rsidR="003A09A5">
              <w:rPr>
                <w:sz w:val="20"/>
              </w:rPr>
              <w:t>den Ortsbrandmeister bzw. Ortsbrandmeisterin</w:t>
            </w:r>
            <w:r w:rsidRPr="00B747D8">
              <w:rPr>
                <w:sz w:val="20"/>
              </w:rPr>
              <w:t xml:space="preserve"> und wenden sich umgehend zunächst telefonisch an einen Arzt oder das Gesundheitsamt.</w:t>
            </w:r>
            <w:r w:rsidR="00FD680C" w:rsidRPr="00B747D8">
              <w:rPr>
                <w:sz w:val="20"/>
              </w:rPr>
              <w:t xml:space="preserve"> Beachten Sie weitere Anweisungen vom Arzt.</w:t>
            </w:r>
          </w:p>
          <w:p w:rsidR="001B7C72" w:rsidRDefault="001B7C72" w:rsidP="001B7C72">
            <w:pPr>
              <w:ind w:left="720"/>
              <w:rPr>
                <w:color w:val="FF0000"/>
              </w:rPr>
            </w:pPr>
          </w:p>
          <w:p w:rsidR="001B7C72" w:rsidRPr="00B747D8" w:rsidRDefault="001B7C72" w:rsidP="001B7C72">
            <w:pPr>
              <w:numPr>
                <w:ilvl w:val="0"/>
                <w:numId w:val="3"/>
              </w:numPr>
            </w:pPr>
            <w:r w:rsidRPr="00B747D8">
              <w:rPr>
                <w:sz w:val="20"/>
              </w:rPr>
              <w:t xml:space="preserve">Wenn bei Ihnen oder </w:t>
            </w:r>
            <w:r w:rsidR="003A09A5">
              <w:rPr>
                <w:sz w:val="20"/>
              </w:rPr>
              <w:t>anderen Feuerwehrangehörigen</w:t>
            </w:r>
            <w:r w:rsidRPr="00B747D8">
              <w:rPr>
                <w:sz w:val="20"/>
              </w:rPr>
              <w:t xml:space="preserve"> im Laufe des </w:t>
            </w:r>
            <w:r w:rsidR="003A09A5">
              <w:rPr>
                <w:sz w:val="20"/>
              </w:rPr>
              <w:t>Dienstes</w:t>
            </w:r>
            <w:r w:rsidRPr="00B747D8">
              <w:rPr>
                <w:sz w:val="20"/>
              </w:rPr>
              <w:t xml:space="preserve"> Symptome auftreten, verlassen Sie nach Rücksprache mit Ihren </w:t>
            </w:r>
            <w:r w:rsidR="00F96DDD">
              <w:rPr>
                <w:sz w:val="20"/>
              </w:rPr>
              <w:t>Ausbilder</w:t>
            </w:r>
            <w:r w:rsidRPr="00B747D8">
              <w:rPr>
                <w:sz w:val="20"/>
              </w:rPr>
              <w:t xml:space="preserve"> das </w:t>
            </w:r>
            <w:r w:rsidR="003A09A5">
              <w:rPr>
                <w:sz w:val="20"/>
              </w:rPr>
              <w:t>Feuerwehr</w:t>
            </w:r>
            <w:r w:rsidR="00F96DDD">
              <w:rPr>
                <w:sz w:val="20"/>
              </w:rPr>
              <w:t>g</w:t>
            </w:r>
            <w:r w:rsidRPr="00B747D8">
              <w:rPr>
                <w:sz w:val="20"/>
              </w:rPr>
              <w:t>elände, wenden Sie sich umgehend zunächst telefonisch an einen Arzt oder das Gesundheitsamt.</w:t>
            </w:r>
          </w:p>
          <w:p w:rsidR="001B7C72" w:rsidRPr="001B7C72" w:rsidRDefault="001B7C72" w:rsidP="001B7C72">
            <w:pPr>
              <w:ind w:left="720"/>
            </w:pPr>
          </w:p>
          <w:p w:rsidR="00FE03A1" w:rsidRDefault="00FE03A1">
            <w:pPr>
              <w:numPr>
                <w:ilvl w:val="0"/>
                <w:numId w:val="3"/>
              </w:numPr>
            </w:pPr>
            <w:r>
              <w:rPr>
                <w:sz w:val="20"/>
              </w:rPr>
              <w:t xml:space="preserve">Personen, die Kontakt zu einer Person hatten, bei der SARS-CoV-2 nachgewiesen wurde, sollten sich unverzüglich und unabhängig von Symptomen mit dem zuständigen Gesundheitsamt in Verbindung setzen oder einen Arzt kontaktieren. </w:t>
            </w:r>
          </w:p>
          <w:p w:rsidR="003A09A5" w:rsidRDefault="00FE03A1" w:rsidP="003A09A5">
            <w:pPr>
              <w:rPr>
                <w:sz w:val="20"/>
              </w:rPr>
            </w:pPr>
            <w:r>
              <w:rPr>
                <w:rFonts w:eastAsia="Arial"/>
                <w:sz w:val="20"/>
              </w:rPr>
              <w:t xml:space="preserve">             </w:t>
            </w:r>
            <w:r>
              <w:rPr>
                <w:sz w:val="20"/>
              </w:rPr>
              <w:t>Informieren Sie umgehend Ihre</w:t>
            </w:r>
            <w:r w:rsidR="00F96DDD">
              <w:rPr>
                <w:sz w:val="20"/>
              </w:rPr>
              <w:t>(</w:t>
            </w:r>
            <w:r>
              <w:rPr>
                <w:sz w:val="20"/>
              </w:rPr>
              <w:t>n</w:t>
            </w:r>
            <w:r w:rsidR="00F96DDD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="003A09A5">
              <w:rPr>
                <w:sz w:val="20"/>
              </w:rPr>
              <w:t>OrtsBM</w:t>
            </w:r>
            <w:r>
              <w:rPr>
                <w:sz w:val="20"/>
              </w:rPr>
              <w:t>.</w:t>
            </w:r>
          </w:p>
          <w:p w:rsidR="003A09A5" w:rsidRPr="00C0278A" w:rsidRDefault="003A09A5" w:rsidP="00C0278A">
            <w:pPr>
              <w:rPr>
                <w:sz w:val="20"/>
              </w:rPr>
            </w:pPr>
          </w:p>
          <w:p w:rsidR="00C0278A" w:rsidRDefault="00C0278A" w:rsidP="00B747D8">
            <w:pPr>
              <w:rPr>
                <w:b/>
                <w:sz w:val="20"/>
              </w:rPr>
            </w:pPr>
            <w:r w:rsidRPr="00C0278A">
              <w:rPr>
                <w:b/>
                <w:sz w:val="20"/>
              </w:rPr>
              <w:t xml:space="preserve">Atemschutzgeräteträger / Atemschutzgeräteträgerin </w:t>
            </w:r>
            <w:r>
              <w:rPr>
                <w:b/>
                <w:sz w:val="20"/>
              </w:rPr>
              <w:t xml:space="preserve">oder Taucherin / Taucher </w:t>
            </w:r>
          </w:p>
          <w:p w:rsidR="00C0278A" w:rsidRPr="00C0278A" w:rsidRDefault="00C0278A" w:rsidP="00B747D8">
            <w:pPr>
              <w:rPr>
                <w:b/>
                <w:sz w:val="20"/>
              </w:rPr>
            </w:pPr>
            <w:r w:rsidRPr="00C0278A">
              <w:rPr>
                <w:b/>
                <w:sz w:val="20"/>
              </w:rPr>
              <w:t>nach COVID-19-Erkrankung:</w:t>
            </w:r>
          </w:p>
          <w:p w:rsidR="00FE03A1" w:rsidRDefault="00785AD7" w:rsidP="00785AD7">
            <w:pPr>
              <w:pStyle w:val="Listenabsatz"/>
              <w:numPr>
                <w:ilvl w:val="0"/>
                <w:numId w:val="7"/>
              </w:numPr>
              <w:rPr>
                <w:sz w:val="20"/>
              </w:rPr>
            </w:pPr>
            <w:r w:rsidRPr="00785AD7">
              <w:rPr>
                <w:sz w:val="20"/>
              </w:rPr>
              <w:t>Es wird empfohlen</w:t>
            </w:r>
            <w:r w:rsidR="0090583B">
              <w:rPr>
                <w:sz w:val="20"/>
              </w:rPr>
              <w:t>,</w:t>
            </w:r>
            <w:r w:rsidRPr="00785AD7">
              <w:rPr>
                <w:sz w:val="20"/>
              </w:rPr>
              <w:t xml:space="preserve"> </w:t>
            </w:r>
            <w:r w:rsidR="0090583B">
              <w:rPr>
                <w:sz w:val="20"/>
              </w:rPr>
              <w:t xml:space="preserve">vor </w:t>
            </w:r>
            <w:r w:rsidRPr="00785AD7">
              <w:rPr>
                <w:sz w:val="20"/>
              </w:rPr>
              <w:t>einer Verwendung im Atemschutz- oder Taucheinsatz mit den die Eignungsuntersuchung durchführenden</w:t>
            </w:r>
            <w:r>
              <w:rPr>
                <w:sz w:val="20"/>
              </w:rPr>
              <w:t xml:space="preserve"> </w:t>
            </w:r>
            <w:r w:rsidRPr="00785AD7">
              <w:rPr>
                <w:sz w:val="20"/>
              </w:rPr>
              <w:t>Stellen zu klären, ob eine gesonderte Eignungsuntersuchung durchzuführen ist.</w:t>
            </w:r>
          </w:p>
          <w:p w:rsidR="00804E63" w:rsidRPr="00785AD7" w:rsidRDefault="00804E63" w:rsidP="00785AD7">
            <w:pPr>
              <w:pStyle w:val="Listenabsatz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Sofern es Zweifel an der Eignung für die benannten Tätigkeiten gibt, z. B. Kurzatmigkeit, ist eine Eignungsuntersuchung durchzuführen.</w:t>
            </w:r>
          </w:p>
          <w:p w:rsidR="00C0278A" w:rsidRPr="00C0278A" w:rsidRDefault="00C0278A" w:rsidP="00B747D8">
            <w:pPr>
              <w:rPr>
                <w:sz w:val="20"/>
              </w:rPr>
            </w:pPr>
          </w:p>
          <w:p w:rsidR="00C0278A" w:rsidRDefault="00C0278A" w:rsidP="00B747D8">
            <w:pPr>
              <w:rPr>
                <w:sz w:val="22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3A1" w:rsidRDefault="00FE03A1">
            <w:pPr>
              <w:snapToGrid w:val="0"/>
              <w:spacing w:before="60" w:after="60"/>
              <w:jc w:val="center"/>
              <w:rPr>
                <w:sz w:val="22"/>
                <w:szCs w:val="18"/>
              </w:rPr>
            </w:pPr>
          </w:p>
        </w:tc>
      </w:tr>
      <w:tr w:rsidR="00FE03A1" w:rsidTr="004701E5">
        <w:trPr>
          <w:cantSplit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FE03A1" w:rsidRDefault="00FE03A1">
            <w:pPr>
              <w:pStyle w:val="berschrift3"/>
            </w:pPr>
            <w:r>
              <w:t xml:space="preserve">5. </w:t>
            </w:r>
            <w:r>
              <w:rPr>
                <w:caps/>
              </w:rPr>
              <w:t>Sachgerechte Entsorgung</w:t>
            </w:r>
          </w:p>
        </w:tc>
      </w:tr>
      <w:tr w:rsidR="00FE03A1" w:rsidTr="004701E5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A1" w:rsidRDefault="00FE03A1">
            <w:pPr>
              <w:snapToGrid w:val="0"/>
              <w:spacing w:before="60" w:after="60"/>
              <w:jc w:val="center"/>
              <w:rPr>
                <w:b/>
                <w:color w:val="FFFFFF"/>
                <w:sz w:val="28"/>
              </w:rPr>
            </w:pP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E63" w:rsidRDefault="00804E63">
            <w:pPr>
              <w:rPr>
                <w:sz w:val="20"/>
              </w:rPr>
            </w:pPr>
          </w:p>
          <w:p w:rsidR="00FE03A1" w:rsidRDefault="00FE03A1">
            <w:pPr>
              <w:rPr>
                <w:sz w:val="20"/>
              </w:rPr>
            </w:pPr>
            <w:r>
              <w:rPr>
                <w:sz w:val="20"/>
              </w:rPr>
              <w:t>Abfall nicht zwischenlagern. Abfall in verschlossenen Abfallbeuteln sachgerecht entsorgen.</w:t>
            </w:r>
          </w:p>
          <w:p w:rsidR="00804E63" w:rsidRDefault="00804E63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3A1" w:rsidRDefault="00FE03A1">
            <w:pPr>
              <w:snapToGrid w:val="0"/>
              <w:spacing w:before="60" w:after="60"/>
              <w:jc w:val="center"/>
              <w:rPr>
                <w:sz w:val="20"/>
              </w:rPr>
            </w:pPr>
          </w:p>
        </w:tc>
      </w:tr>
    </w:tbl>
    <w:p w:rsidR="00FE03A1" w:rsidRDefault="00FE03A1">
      <w:pPr>
        <w:spacing w:before="60" w:after="60"/>
      </w:pPr>
      <w:r>
        <w:t>Datum: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1"/>
        <w:gridCol w:w="5701"/>
      </w:tblGrid>
      <w:tr w:rsidR="00FE03A1">
        <w:tc>
          <w:tcPr>
            <w:tcW w:w="5211" w:type="dxa"/>
            <w:shd w:val="clear" w:color="auto" w:fill="auto"/>
          </w:tcPr>
          <w:p w:rsidR="00FE03A1" w:rsidRDefault="00FE03A1"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Nächster</w:t>
            </w:r>
          </w:p>
          <w:p w:rsidR="00FE03A1" w:rsidRDefault="00FE03A1"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Überprüfungstermin:</w:t>
            </w:r>
          </w:p>
        </w:tc>
        <w:tc>
          <w:tcPr>
            <w:tcW w:w="5701" w:type="dxa"/>
            <w:shd w:val="clear" w:color="auto" w:fill="auto"/>
          </w:tcPr>
          <w:p w:rsidR="00FE03A1" w:rsidRDefault="00FE03A1" w:rsidP="003A09A5">
            <w:r>
              <w:rPr>
                <w:sz w:val="22"/>
                <w:szCs w:val="22"/>
              </w:rPr>
              <w:t>Unterschrift:</w:t>
            </w:r>
            <w:r>
              <w:rPr>
                <w:sz w:val="22"/>
                <w:szCs w:val="22"/>
              </w:rPr>
              <w:br/>
            </w:r>
            <w:r w:rsidR="003A09A5">
              <w:rPr>
                <w:sz w:val="22"/>
                <w:szCs w:val="22"/>
              </w:rPr>
              <w:t>Gemeinde</w:t>
            </w:r>
          </w:p>
        </w:tc>
      </w:tr>
    </w:tbl>
    <w:p w:rsidR="00FE03A1" w:rsidRDefault="00FE03A1"/>
    <w:sectPr w:rsidR="00FE03A1" w:rsidSect="00E52A34">
      <w:pgSz w:w="11906" w:h="16838"/>
      <w:pgMar w:top="567" w:right="567" w:bottom="794" w:left="567" w:header="720" w:footer="720" w:gutter="0"/>
      <w:pgBorders w:offsetFrom="page">
        <w:top w:val="single" w:sz="48" w:space="24" w:color="008000"/>
        <w:left w:val="single" w:sz="48" w:space="20" w:color="008000"/>
        <w:bottom w:val="single" w:sz="48" w:space="24" w:color="008000"/>
        <w:right w:val="single" w:sz="48" w:space="24" w:color="008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5F" w:rsidRDefault="006A595F" w:rsidP="001D6019">
      <w:r>
        <w:separator/>
      </w:r>
    </w:p>
  </w:endnote>
  <w:endnote w:type="continuationSeparator" w:id="0">
    <w:p w:rsidR="006A595F" w:rsidRDefault="006A595F" w:rsidP="001D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5F" w:rsidRDefault="006A595F" w:rsidP="001D6019">
      <w:r>
        <w:separator/>
      </w:r>
    </w:p>
  </w:footnote>
  <w:footnote w:type="continuationSeparator" w:id="0">
    <w:p w:rsidR="006A595F" w:rsidRDefault="006A595F" w:rsidP="001D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18"/>
      </w:rPr>
    </w:lvl>
  </w:abstractNum>
  <w:abstractNum w:abstractNumId="3" w15:restartNumberingAfterBreak="0">
    <w:nsid w:val="04E73819"/>
    <w:multiLevelType w:val="hybridMultilevel"/>
    <w:tmpl w:val="B704A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F585A"/>
    <w:multiLevelType w:val="hybridMultilevel"/>
    <w:tmpl w:val="67FE0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66D63"/>
    <w:multiLevelType w:val="hybridMultilevel"/>
    <w:tmpl w:val="8B363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54877"/>
    <w:multiLevelType w:val="hybridMultilevel"/>
    <w:tmpl w:val="61DCC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F2091"/>
    <w:multiLevelType w:val="hybridMultilevel"/>
    <w:tmpl w:val="46848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98"/>
    <w:rsid w:val="00101598"/>
    <w:rsid w:val="001B7C72"/>
    <w:rsid w:val="001C524A"/>
    <w:rsid w:val="001D6019"/>
    <w:rsid w:val="001F3BFA"/>
    <w:rsid w:val="00287342"/>
    <w:rsid w:val="003A09A5"/>
    <w:rsid w:val="0040426A"/>
    <w:rsid w:val="00406F7D"/>
    <w:rsid w:val="00447652"/>
    <w:rsid w:val="004701E5"/>
    <w:rsid w:val="00505F43"/>
    <w:rsid w:val="00530DC5"/>
    <w:rsid w:val="00560CB8"/>
    <w:rsid w:val="00585666"/>
    <w:rsid w:val="00593745"/>
    <w:rsid w:val="005F36D5"/>
    <w:rsid w:val="006A595F"/>
    <w:rsid w:val="00716D8A"/>
    <w:rsid w:val="00750CF0"/>
    <w:rsid w:val="00785AD7"/>
    <w:rsid w:val="007E1552"/>
    <w:rsid w:val="00804E63"/>
    <w:rsid w:val="0090583B"/>
    <w:rsid w:val="00971EB4"/>
    <w:rsid w:val="00993075"/>
    <w:rsid w:val="00A12AB7"/>
    <w:rsid w:val="00A33A33"/>
    <w:rsid w:val="00A369C2"/>
    <w:rsid w:val="00A57061"/>
    <w:rsid w:val="00AD4922"/>
    <w:rsid w:val="00B747D8"/>
    <w:rsid w:val="00C0278A"/>
    <w:rsid w:val="00D33D8A"/>
    <w:rsid w:val="00DD12F4"/>
    <w:rsid w:val="00E52A34"/>
    <w:rsid w:val="00E54CA7"/>
    <w:rsid w:val="00EC19B7"/>
    <w:rsid w:val="00EF5B41"/>
    <w:rsid w:val="00F96DDD"/>
    <w:rsid w:val="00FD680C"/>
    <w:rsid w:val="00FE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19564E4-5710-4B52-B0A1-BD487D02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textAlignment w:val="baseline"/>
    </w:pPr>
    <w:rPr>
      <w:rFonts w:ascii="Arial" w:hAnsi="Arial" w:cs="Arial"/>
      <w:sz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  <w:szCs w:val="1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000000"/>
      <w:sz w:val="24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000000"/>
      <w:sz w:val="24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000000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000000"/>
      <w:sz w:val="24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  <w:sz w:val="20"/>
      <w:szCs w:val="18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Funotenzeichen1">
    <w:name w:val="Fußnotenzeichen1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Pr>
      <w:sz w:val="20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Umschlagadresse">
    <w:name w:val="envelope address"/>
    <w:basedOn w:val="Standard"/>
    <w:pPr>
      <w:ind w:left="2835"/>
    </w:pPr>
  </w:style>
  <w:style w:type="paragraph" w:styleId="Umschlagabsenderadresse">
    <w:name w:val="envelope return"/>
    <w:basedOn w:val="Standard"/>
    <w:rPr>
      <w:sz w:val="20"/>
    </w:rPr>
  </w:style>
  <w:style w:type="paragraph" w:customStyle="1" w:styleId="Kopf-undFuzeile">
    <w:name w:val="Kopf- und Fußzeile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rPr>
      <w:sz w:val="20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Rahmeninhalt">
    <w:name w:val="Rahmeninhalt"/>
    <w:basedOn w:val="Standard"/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3A0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4064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 B1-01</vt:lpstr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 B1-01</dc:title>
  <dc:subject/>
  <dc:creator>StBG</dc:creator>
  <cp:keywords/>
  <cp:lastModifiedBy>Vivien Brinkmann</cp:lastModifiedBy>
  <cp:revision>2</cp:revision>
  <cp:lastPrinted>2021-05-11T14:36:00Z</cp:lastPrinted>
  <dcterms:created xsi:type="dcterms:W3CDTF">2021-05-12T11:09:00Z</dcterms:created>
  <dcterms:modified xsi:type="dcterms:W3CDTF">2021-05-12T11:09:00Z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-246797222</vt:i4>
  </property>
</Properties>
</file>